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shd w:val="clear" w:color="auto" w:fill="FFFFFF"/>
        <w:spacing w:before="0" w:beforeAutospacing="0" w:after="0" w:afterAutospacing="0"/>
        <w:ind w:firstLine="480"/>
        <w:jc w:val="center"/>
        <w:rPr>
          <w:rFonts w:hint="eastAsia"/>
          <w:b/>
          <w:bCs/>
          <w:sz w:val="44"/>
          <w:szCs w:val="44"/>
        </w:rPr>
      </w:pPr>
      <w:r>
        <w:rPr>
          <w:rFonts w:hint="eastAsia"/>
          <w:b/>
          <w:bCs/>
          <w:sz w:val="44"/>
          <w:szCs w:val="44"/>
        </w:rPr>
        <w:t>申请保障性住房或者住房租赁补贴</w:t>
      </w:r>
    </w:p>
    <w:p>
      <w:pPr>
        <w:pStyle w:val="2"/>
        <w:numPr>
          <w:ilvl w:val="0"/>
          <w:numId w:val="0"/>
        </w:numPr>
        <w:shd w:val="clear" w:color="auto" w:fill="FFFFFF"/>
        <w:spacing w:before="0" w:beforeAutospacing="0" w:after="0" w:afterAutospacing="0"/>
        <w:jc w:val="center"/>
        <w:rPr>
          <w:b/>
          <w:bCs/>
          <w:sz w:val="44"/>
          <w:szCs w:val="44"/>
        </w:rPr>
      </w:pPr>
      <w:r>
        <w:rPr>
          <w:rFonts w:hint="eastAsia"/>
          <w:b/>
          <w:bCs/>
          <w:sz w:val="44"/>
          <w:szCs w:val="44"/>
        </w:rPr>
        <w:t>审核事中事后监管细则</w:t>
      </w:r>
    </w:p>
    <w:p>
      <w:pPr>
        <w:pStyle w:val="2"/>
        <w:shd w:val="clear" w:color="auto" w:fill="FFFFFF"/>
        <w:spacing w:before="0" w:beforeAutospacing="0" w:after="0" w:afterAutospacing="0"/>
        <w:ind w:firstLine="480"/>
        <w:jc w:val="center"/>
        <w:rPr>
          <w:sz w:val="44"/>
          <w:szCs w:val="44"/>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为深入推进简政放权、放管结合、优化服务，加强对“申请保障性住房或者住房租赁补贴</w:t>
      </w:r>
      <w:r>
        <w:rPr>
          <w:rFonts w:hint="eastAsia" w:ascii="仿宋" w:hAnsi="仿宋" w:eastAsia="仿宋"/>
          <w:sz w:val="32"/>
          <w:szCs w:val="32"/>
        </w:rPr>
        <w:t>”事中事后监管工作，规范政府权力运行，根据相关法律法规和《安徽省政府权力运行监督管理办法》，结合工作实际，制定本监管细则。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43</w:t>
      </w:r>
      <w:r>
        <w:rPr>
          <w:rFonts w:hint="eastAsia" w:ascii="仿宋" w:hAnsi="仿宋" w:eastAsia="仿宋"/>
          <w:sz w:val="32"/>
          <w:szCs w:val="32"/>
        </w:rPr>
        <w:t>项，权力</w:t>
      </w:r>
      <w:bookmarkStart w:id="0" w:name="_GoBack"/>
      <w:bookmarkEnd w:id="0"/>
      <w:r>
        <w:rPr>
          <w:rFonts w:hint="eastAsia" w:ascii="仿宋" w:hAnsi="仿宋" w:eastAsia="仿宋"/>
          <w:sz w:val="32"/>
          <w:szCs w:val="32"/>
        </w:rPr>
        <w:t>类型：行政给付，项目名称：申请保障性住房或者住房租赁补贴审核。</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黑体" w:hAnsi="黑体" w:eastAsia="黑体" w:cs="黑体"/>
          <w:b w:val="0"/>
          <w:bCs w:val="0"/>
          <w:sz w:val="32"/>
          <w:szCs w:val="32"/>
        </w:rPr>
      </w:pPr>
      <w:r>
        <w:rPr>
          <w:rStyle w:val="5"/>
          <w:rFonts w:hint="eastAsia" w:ascii="黑体" w:hAnsi="黑体" w:eastAsia="黑体" w:cs="黑体"/>
          <w:b w:val="0"/>
          <w:bCs w:val="0"/>
          <w:sz w:val="32"/>
          <w:szCs w:val="32"/>
        </w:rPr>
        <w:t>一、监管要求</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根据《安徽省保障性住房建设和管理办法（试行）》等有关法律、法规、规章，当祁门县住建局房管中心负责本县县城行政区域内符合脚尖的住房保障对象提供的，具有保障性质的廉租住房、公共租赁住房。</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rPr>
        <w:t>二、事中监管</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(一)审批管理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申报受理。申请人在户籍所在社区进行申报，社区进行初审并将信息录入安徽省住房保障管理系统，申请人填写相关表格，形成初步审查意见。</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（二）运行监督</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1.落实岗位职责。按照权责一致、有权必有责的要求，祁门县住建局房管中心根据保障性住房对象资格岗位职责定位和工作任务，落实责任主体，规范职责权限，明确相应责任。</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2.规范审批行为。当涂县住房和城乡建设委员会具体明确办理条件、申报材料、办理程序等，并通过当涂县住房和城乡建设委员会网站发布，接受社会监督。</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3.加强风险防控。本着用权必受监督的要求，当涂县住房和城乡建设委员会编制保障性住房申请、审核流程图，明确表现形式，制定防控措施，对保障性住房对象申请、审核进行全程、实时监控。</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rPr>
        <w:t>三、事后监管</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（一）监督检查。祁门县住建局房管中心，鼓励广大群众积极监督、举报。</w:t>
      </w:r>
      <w:r>
        <w:rPr>
          <w:rFonts w:hint="eastAsia" w:ascii="新宋体" w:hAnsi="新宋体" w:eastAsia="仿宋"/>
          <w:sz w:val="32"/>
          <w:szCs w:val="32"/>
        </w:rPr>
        <w:t>   </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（二）联动监管。</w:t>
      </w:r>
      <w:r>
        <w:rPr>
          <w:rFonts w:hint="eastAsia" w:ascii="仿宋" w:hAnsi="仿宋" w:eastAsia="仿宋"/>
          <w:sz w:val="32"/>
          <w:szCs w:val="32"/>
          <w:lang w:eastAsia="zh-CN"/>
        </w:rPr>
        <w:t>祁门</w:t>
      </w:r>
      <w:r>
        <w:rPr>
          <w:rFonts w:hint="eastAsia" w:ascii="仿宋" w:hAnsi="仿宋" w:eastAsia="仿宋"/>
          <w:sz w:val="32"/>
          <w:szCs w:val="32"/>
        </w:rPr>
        <w:t>县人民政府住房保障行政主管部门应当会同有关部门对保障对象的住房、人口、收入和财产变动情况，定期进行抽查。抽查结果作为调整保障性住房、住房租赁补贴和住房租金补助的依据。</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（三）违规处理。申请人隐瞒、虚报或者伪造住房、人口、收入和财产状况的，由县级以上人民政府住房保障行政主管部门驳回其申请，录入保障性住房基础信息管理平台。</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对保障性住房建设和管理中的违法行为，任何单位和个人都有权举报和投诉。有关部门和单位收到举报、投诉后，应当按照各自职责依法调查处理，并答复举报、投诉人。</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rPr>
        <w:t>四、责任追究</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在保障性住房对象资格审核中，县级以上人民政府住房保障行政主管部门和其他有关部门、社区和镇人民政府有下列行为之一的，对其直接负责的主管人员和其他直接责任人员，依法给予处分：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（一）向不符合条件的申请人提供保障性住房或者发放住房租赁补贴的；　　</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（二）擅自变更保障方式、保障性住房面积标准以及保障性住房租赁、销售价格标准或者住房租赁补贴标准的；　　</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（三）未按规定建立保障性住房和保障对象档案的；　　</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（四）未按规定公示或者公开保障对象、住房保障信息的；　　</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（五）未按规定公示或者公开保障对象、住房保障信息的；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（六）对违法行为未及时依法处理的。</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《安徽省保障性住房建设和管理办法（试行）》</w:t>
      </w:r>
      <w:r>
        <w:rPr>
          <w:rFonts w:hint="eastAsia" w:ascii="仿宋" w:hAnsi="仿宋" w:eastAsia="仿宋" w:cs="黑体"/>
          <w:sz w:val="32"/>
          <w:szCs w:val="32"/>
          <w:lang w:eastAsia="zh-CN"/>
        </w:rPr>
        <w:t>第二条、第五条、第十九条、第二十条。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73ADA"/>
    <w:multiLevelType w:val="singleLevel"/>
    <w:tmpl w:val="43673ADA"/>
    <w:lvl w:ilvl="0" w:tentative="0">
      <w:start w:val="4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99512B3"/>
    <w:rsid w:val="299512B3"/>
    <w:rsid w:val="3A175CC4"/>
    <w:rsid w:val="770F2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jc w:val="left"/>
    </w:pPr>
    <w:rPr>
      <w:rFonts w:ascii="宋体" w:hAnsi="宋体"/>
      <w:kern w:val="0"/>
      <w:sz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2024-01-19T00:50:00Z</dcterms:created>
  <dc:creator>沉默的小布芬</dc:creator>
  <cp:lastModifiedBy>沉默的小布芬</cp:lastModifiedBy>
  <dcterms:modified xsi:type="dcterms:W3CDTF">2024-01-22T07:19:37Z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772E3C42DDB747328C5FCAC3DC62AC52_11</vt:lpwstr>
  </property>
</Properties>
</file>